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3CD2" w14:textId="77777777" w:rsidR="00610A77" w:rsidRPr="00610A77" w:rsidRDefault="00610A77" w:rsidP="00610A77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VI</w:t>
      </w:r>
    </w:p>
    <w:p w14:paraId="50310720" w14:textId="77777777" w:rsidR="00610A77" w:rsidRPr="00610A77" w:rsidRDefault="00610A77" w:rsidP="00610A77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p w14:paraId="03EB315E" w14:textId="77777777" w:rsidR="00610A77" w:rsidRPr="00610A77" w:rsidRDefault="00610A77" w:rsidP="00610A77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b/>
          <w:bCs/>
          <w:sz w:val="22"/>
          <w:szCs w:val="22"/>
          <w:lang w:eastAsia="es-ES"/>
        </w:rPr>
        <w:t>GUIA PARA LA ELABORACIÓN DE LA MEMORIA DE ACTUACIÓN DEL FESTIVAL</w:t>
      </w:r>
    </w:p>
    <w:p w14:paraId="70D19559" w14:textId="77777777" w:rsidR="00610A77" w:rsidRPr="00610A77" w:rsidRDefault="00610A77" w:rsidP="00610A77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p w14:paraId="335B6BFF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Trayectoria de la entidad promotora.</w:t>
      </w:r>
    </w:p>
    <w:p w14:paraId="554AE86E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Proyecto para el que se solicita autorización del uso de la marca “Festivales Región de Murcia” y de qué forma se va a identificar con la Marca.</w:t>
      </w:r>
    </w:p>
    <w:p w14:paraId="35C3B926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Breve descripción del Festival: perfil, alcance y trayectoria; relación de conciertos de las dos últimas ediciones incluyendo carteles con las fechas de celebración del festival, artistas y programación; imágenes de los conciertos, entradas con el CIF de la empresa.</w:t>
      </w:r>
    </w:p>
    <w:p w14:paraId="30A2C3F1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Medidas de sostenibilidad y accesibilidad del Festival (huella de carbono, normativas en materia de calidad y sostenibilidad, recogida selectiva de residuos, etc.)</w:t>
      </w:r>
    </w:p>
    <w:p w14:paraId="6F43C5EC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Promoción de la Región de Murcia a nivel nacional e internacional por parte del Festival (redes sociales, publicidad, ruedas de prensa, presentaciones, etc.). Cómo se va a identificar el festival con la “Marca Festivales Región de Murcia”. Plan estratégico de marketing y comunicación.</w:t>
      </w:r>
    </w:p>
    <w:p w14:paraId="160CD29E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Repercusión económica del Festival/Informe de impacto socioeconómico: asistentes, gasto estimado realizado en la Región de Murcia en total, estimación de empleos directos e indirectos, impacto publicitario y en redes sociales.</w:t>
      </w:r>
    </w:p>
    <w:p w14:paraId="04F8AFD3" w14:textId="77777777" w:rsidR="00610A77" w:rsidRPr="00610A77" w:rsidRDefault="00610A77" w:rsidP="00610A77">
      <w:pPr>
        <w:numPr>
          <w:ilvl w:val="0"/>
          <w:numId w:val="1"/>
        </w:numPr>
        <w:spacing w:after="0" w:line="360" w:lineRule="auto"/>
        <w:ind w:left="709" w:right="16" w:hanging="709"/>
        <w:contextualSpacing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610A77">
        <w:rPr>
          <w:rFonts w:ascii="Cambria" w:eastAsia="Calibri" w:hAnsi="Cambria" w:cs="Calibri"/>
          <w:sz w:val="22"/>
          <w:szCs w:val="22"/>
          <w:lang w:eastAsia="es-ES"/>
        </w:rPr>
        <w:t>Porcentaje de artistas internacionales en la programación del festival.</w:t>
      </w:r>
    </w:p>
    <w:p w14:paraId="603E4AD9" w14:textId="77777777" w:rsidR="00610A77" w:rsidRDefault="00610A77"/>
    <w:sectPr w:rsidR="00610A7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90EE" w14:textId="77777777" w:rsidR="00BE3F6E" w:rsidRDefault="00BE3F6E" w:rsidP="00BE3F6E">
      <w:pPr>
        <w:spacing w:after="0" w:line="240" w:lineRule="auto"/>
      </w:pPr>
      <w:r>
        <w:separator/>
      </w:r>
    </w:p>
  </w:endnote>
  <w:endnote w:type="continuationSeparator" w:id="0">
    <w:p w14:paraId="02C52744" w14:textId="77777777" w:rsidR="00BE3F6E" w:rsidRDefault="00BE3F6E" w:rsidP="00BE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244C" w14:textId="77777777" w:rsidR="00BE3F6E" w:rsidRDefault="00BE3F6E" w:rsidP="00BE3F6E">
      <w:pPr>
        <w:spacing w:after="0" w:line="240" w:lineRule="auto"/>
      </w:pPr>
      <w:r>
        <w:separator/>
      </w:r>
    </w:p>
  </w:footnote>
  <w:footnote w:type="continuationSeparator" w:id="0">
    <w:p w14:paraId="6BE80CDA" w14:textId="77777777" w:rsidR="00BE3F6E" w:rsidRDefault="00BE3F6E" w:rsidP="00BE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C5C2" w14:textId="510BF7C4" w:rsidR="00BE3F6E" w:rsidRPr="00BE3F6E" w:rsidRDefault="00BE3F6E" w:rsidP="00BE3F6E">
    <w:pPr>
      <w:pStyle w:val="Encabezado"/>
      <w:jc w:val="right"/>
      <w:rPr>
        <w:b/>
        <w:bCs/>
      </w:rPr>
    </w:pPr>
    <w:r w:rsidRPr="00BE3F6E">
      <w:drawing>
        <wp:anchor distT="0" distB="0" distL="114300" distR="114300" simplePos="0" relativeHeight="251659264" behindDoc="0" locked="0" layoutInCell="1" allowOverlap="1" wp14:anchorId="36D68B87" wp14:editId="65C6E5CF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40" cy="1137285"/>
          <wp:effectExtent l="0" t="0" r="0" b="0"/>
          <wp:wrapTopAndBottom/>
          <wp:docPr id="1565507816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3F6E">
      <w:rPr>
        <w:b/>
        <w:bCs/>
      </w:rPr>
      <w:t>Id procedimiento 3612</w:t>
    </w:r>
  </w:p>
  <w:p w14:paraId="4790DDEA" w14:textId="77777777" w:rsidR="00BE3F6E" w:rsidRDefault="00B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26E2"/>
    <w:multiLevelType w:val="hybridMultilevel"/>
    <w:tmpl w:val="B086A74A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597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77"/>
    <w:rsid w:val="001D3F6D"/>
    <w:rsid w:val="00610A77"/>
    <w:rsid w:val="00AF67BE"/>
    <w:rsid w:val="00B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6471A1"/>
  <w15:chartTrackingRefBased/>
  <w15:docId w15:val="{39AD901E-8A36-4EB9-BBB3-7E0F939D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A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F6E"/>
  </w:style>
  <w:style w:type="paragraph" w:styleId="Piedepgina">
    <w:name w:val="footer"/>
    <w:basedOn w:val="Normal"/>
    <w:link w:val="PiedepginaCar"/>
    <w:uiPriority w:val="99"/>
    <w:unhideWhenUsed/>
    <w:rsid w:val="00BE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FDD3E-86A5-4394-939D-905622E825F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db77b70-5048-4f34-a983-2e26d013972e"/>
    <ds:schemaRef ds:uri="http://schemas.openxmlformats.org/package/2006/metadata/core-properties"/>
    <ds:schemaRef ds:uri="bf619d4e-58ed-4b7d-81b5-a93eb9114c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AF74-57E2-4974-8E5B-2C34BC517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37A9D-8641-4407-9E09-5EF88F84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2</cp:revision>
  <dcterms:created xsi:type="dcterms:W3CDTF">2025-07-18T08:27:00Z</dcterms:created>
  <dcterms:modified xsi:type="dcterms:W3CDTF">2025-07-18T11:00:00Z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